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40"/>
          <w:szCs w:val="48"/>
          <w:lang w:eastAsia="zh-CN"/>
        </w:rPr>
      </w:pPr>
      <w:bookmarkStart w:id="0" w:name="_GoBack"/>
      <w:r>
        <w:rPr>
          <w:rFonts w:hint="eastAsia" w:eastAsiaTheme="minorEastAsia"/>
          <w:b/>
          <w:bCs/>
          <w:sz w:val="40"/>
          <w:szCs w:val="48"/>
          <w:lang w:eastAsia="zh-CN"/>
        </w:rPr>
        <w:t>附件1：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6773545"/>
            <wp:effectExtent l="0" t="0" r="15875" b="8255"/>
            <wp:docPr id="2" name="图片 2" descr="mmexport158927165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89271659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67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32"/>
          <w:szCs w:val="40"/>
          <w:lang w:eastAsia="zh-CN"/>
        </w:rPr>
        <w:t>湘潭大学入校流程图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58990"/>
            <wp:effectExtent l="0" t="0" r="10160" b="3810"/>
            <wp:docPr id="1" name="图片 1" descr="mmexport158927166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892716656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32"/>
          <w:szCs w:val="40"/>
          <w:lang w:eastAsia="zh-CN"/>
        </w:rPr>
        <w:t>接站点流程图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265035"/>
            <wp:effectExtent l="0" t="0" r="15875" b="12065"/>
            <wp:docPr id="4" name="图片 4" descr="mmexport1589271648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589271648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32"/>
          <w:szCs w:val="40"/>
          <w:lang w:eastAsia="zh-CN"/>
        </w:rPr>
        <w:t>湘潭大学入校后身体异常处置流程图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44410"/>
            <wp:effectExtent l="0" t="0" r="7620" b="8890"/>
            <wp:docPr id="3" name="图片 3" descr="mmexport158927165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892716534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32"/>
          <w:szCs w:val="40"/>
          <w:lang w:eastAsia="zh-CN"/>
        </w:rPr>
        <w:t>湘潭大学疑似新冠肺炎处置流程图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2020-05-12T09:18:07Z</dcterms:created>
  <dc:creator>HP</dc:creator>
  <cp:lastModifiedBy>wan</cp:lastModifiedBy>
  <dcterms:modified xsi:type="dcterms:W3CDTF">2020-05-12T09:19:59Z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